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38DF8" w14:textId="318F2C8E" w:rsidR="0007114E" w:rsidRDefault="0053220A">
      <w:r>
        <w:t>Workflow User License Set</w:t>
      </w:r>
    </w:p>
    <w:p w14:paraId="1D0D9E8F" w14:textId="77777777" w:rsidR="0053220A" w:rsidRDefault="0053220A" w:rsidP="0053220A">
      <w:pPr>
        <w:rPr>
          <w:rFonts w:ascii="AvenirNextLTW01-Regular" w:hAnsi="AvenirNextLTW01-Regular"/>
          <w:color w:val="353535"/>
          <w:sz w:val="23"/>
          <w:szCs w:val="23"/>
        </w:rPr>
      </w:pPr>
      <w:r>
        <w:rPr>
          <w:rFonts w:ascii="AvenirNextLTW01-Regular" w:hAnsi="AvenirNextLTW01-Regular"/>
          <w:color w:val="353535"/>
          <w:sz w:val="23"/>
          <w:szCs w:val="23"/>
        </w:rPr>
        <w:t xml:space="preserve">With this license, a user can perform tasks within </w:t>
      </w:r>
      <w:hyperlink r:id="rId4" w:history="1">
        <w:r>
          <w:rPr>
            <w:rStyle w:val="Hyperlink"/>
            <w:rFonts w:ascii="AvenirNextLTW01-Regular" w:hAnsi="AvenirNextLTW01-Regular"/>
            <w:sz w:val="23"/>
            <w:szCs w:val="23"/>
          </w:rPr>
          <w:t>DocuWare workflows</w:t>
        </w:r>
      </w:hyperlink>
      <w:r>
        <w:rPr>
          <w:rFonts w:ascii="AvenirNextLTW01-Regular" w:hAnsi="AvenirNextLTW01-Regular"/>
          <w:color w:val="353535"/>
          <w:sz w:val="23"/>
          <w:szCs w:val="23"/>
        </w:rPr>
        <w:t>, such as releasing invoices, approving contracts and vacation requests (and, of course, not approving them as well). The scope of action for task processing depends on your workflow specifications.</w:t>
      </w:r>
    </w:p>
    <w:p w14:paraId="2E88A805" w14:textId="77777777" w:rsidR="0053220A" w:rsidRDefault="0053220A" w:rsidP="0053220A">
      <w:pPr>
        <w:rPr>
          <w:rFonts w:ascii="AvenirNextLTW01-Regular" w:hAnsi="AvenirNextLTW01-Regular"/>
          <w:color w:val="353535"/>
          <w:sz w:val="23"/>
          <w:szCs w:val="23"/>
        </w:rPr>
      </w:pPr>
      <w:r>
        <w:rPr>
          <w:rFonts w:ascii="AvenirNextLTW01-Regular" w:hAnsi="AvenirNextLTW01-Regular"/>
          <w:color w:val="353535"/>
          <w:sz w:val="23"/>
          <w:szCs w:val="23"/>
        </w:rPr>
        <w:t> </w:t>
      </w:r>
    </w:p>
    <w:p w14:paraId="4BA29A03" w14:textId="77777777" w:rsidR="0053220A" w:rsidRDefault="0053220A" w:rsidP="0053220A">
      <w:pPr>
        <w:rPr>
          <w:rFonts w:ascii="AvenirNextLTW01-Regular" w:hAnsi="AvenirNextLTW01-Regular"/>
          <w:color w:val="353535"/>
          <w:sz w:val="23"/>
          <w:szCs w:val="23"/>
        </w:rPr>
      </w:pPr>
      <w:r>
        <w:rPr>
          <w:rFonts w:ascii="AvenirNextLTW01-Regular" w:hAnsi="AvenirNextLTW01-Regular"/>
          <w:color w:val="353535"/>
          <w:sz w:val="23"/>
          <w:szCs w:val="23"/>
        </w:rPr>
        <w:t xml:space="preserve">In addition, users can have read access to file cabinets. They can search for documents, display them in the viewer, print them, download them or send them by email. In the invoice file cabinet, for example, they can also search for old invoices or access their own documents, such as </w:t>
      </w:r>
      <w:hyperlink r:id="rId5" w:history="1">
        <w:r>
          <w:rPr>
            <w:rStyle w:val="Hyperlink"/>
            <w:rFonts w:ascii="AvenirNextLTW01-Regular" w:hAnsi="AvenirNextLTW01-Regular"/>
            <w:sz w:val="23"/>
            <w:szCs w:val="23"/>
          </w:rPr>
          <w:t>pay slips</w:t>
        </w:r>
      </w:hyperlink>
      <w:r>
        <w:rPr>
          <w:rFonts w:ascii="AvenirNextLTW01-Regular" w:hAnsi="AvenirNextLTW01-Regular"/>
          <w:color w:val="353535"/>
          <w:sz w:val="23"/>
          <w:szCs w:val="23"/>
        </w:rPr>
        <w:t xml:space="preserve"> and other records within their digital personnel file.</w:t>
      </w:r>
    </w:p>
    <w:p w14:paraId="37FB48E5" w14:textId="77777777" w:rsidR="0053220A" w:rsidRDefault="0053220A" w:rsidP="0053220A">
      <w:pPr>
        <w:rPr>
          <w:rFonts w:ascii="AvenirNextLTW01-Regular" w:hAnsi="AvenirNextLTW01-Regular"/>
          <w:color w:val="353535"/>
          <w:sz w:val="23"/>
          <w:szCs w:val="23"/>
        </w:rPr>
      </w:pPr>
      <w:r>
        <w:rPr>
          <w:rFonts w:ascii="AvenirNextLTW01-Regular" w:hAnsi="AvenirNextLTW01-Regular"/>
          <w:color w:val="353535"/>
          <w:sz w:val="23"/>
          <w:szCs w:val="23"/>
        </w:rPr>
        <w:t> </w:t>
      </w:r>
    </w:p>
    <w:p w14:paraId="3E2850EF" w14:textId="77777777" w:rsidR="0053220A" w:rsidRDefault="0053220A" w:rsidP="0053220A">
      <w:pPr>
        <w:rPr>
          <w:rFonts w:ascii="AvenirNextLTW01-Regular" w:hAnsi="AvenirNextLTW01-Regular"/>
          <w:color w:val="353535"/>
          <w:sz w:val="23"/>
          <w:szCs w:val="23"/>
        </w:rPr>
      </w:pPr>
      <w:r>
        <w:rPr>
          <w:rFonts w:ascii="AvenirNextLTW01-Regular" w:hAnsi="AvenirNextLTW01-Regular"/>
          <w:color w:val="353535"/>
          <w:sz w:val="23"/>
          <w:szCs w:val="23"/>
        </w:rPr>
        <w:t xml:space="preserve">Even if users are not allowed to store documents directly in a file cabinet, they can still fill out and send </w:t>
      </w:r>
      <w:hyperlink r:id="rId6" w:history="1">
        <w:r>
          <w:rPr>
            <w:rStyle w:val="Hyperlink"/>
            <w:rFonts w:ascii="AvenirNextLTW01-Regular" w:hAnsi="AvenirNextLTW01-Regular"/>
            <w:sz w:val="23"/>
            <w:szCs w:val="23"/>
          </w:rPr>
          <w:t>DocuWare Forms</w:t>
        </w:r>
      </w:hyperlink>
      <w:r>
        <w:rPr>
          <w:rFonts w:ascii="AvenirNextLTW01-Regular" w:hAnsi="AvenirNextLTW01-Regular"/>
          <w:color w:val="353535"/>
          <w:sz w:val="23"/>
          <w:szCs w:val="23"/>
        </w:rPr>
        <w:t xml:space="preserve">. These are then saved in the file cabinet with the </w:t>
      </w:r>
      <w:proofErr w:type="gramStart"/>
      <w:r>
        <w:rPr>
          <w:rFonts w:ascii="AvenirNextLTW01-Regular" w:hAnsi="AvenirNextLTW01-Regular"/>
          <w:color w:val="353535"/>
          <w:sz w:val="23"/>
          <w:szCs w:val="23"/>
        </w:rPr>
        <w:t>user name</w:t>
      </w:r>
      <w:proofErr w:type="gramEnd"/>
      <w:r>
        <w:rPr>
          <w:rFonts w:ascii="AvenirNextLTW01-Regular" w:hAnsi="AvenirNextLTW01-Regular"/>
          <w:color w:val="353535"/>
          <w:sz w:val="23"/>
          <w:szCs w:val="23"/>
        </w:rPr>
        <w:t xml:space="preserve"> of the workflow user. The workflow user can, for example, </w:t>
      </w:r>
      <w:hyperlink r:id="rId7" w:history="1">
        <w:r>
          <w:rPr>
            <w:rStyle w:val="Hyperlink"/>
            <w:rFonts w:ascii="AvenirNextLTW01-Regular" w:hAnsi="AvenirNextLTW01-Regular"/>
            <w:sz w:val="23"/>
            <w:szCs w:val="23"/>
          </w:rPr>
          <w:t>submit travel expenses</w:t>
        </w:r>
      </w:hyperlink>
      <w:r>
        <w:rPr>
          <w:rFonts w:ascii="AvenirNextLTW01-Regular" w:hAnsi="AvenirNextLTW01-Regular"/>
          <w:color w:val="353535"/>
          <w:sz w:val="23"/>
          <w:szCs w:val="23"/>
        </w:rPr>
        <w:t xml:space="preserve">, </w:t>
      </w:r>
      <w:hyperlink r:id="rId8" w:history="1">
        <w:r>
          <w:rPr>
            <w:rStyle w:val="Hyperlink"/>
            <w:rFonts w:ascii="AvenirNextLTW01-Regular" w:hAnsi="AvenirNextLTW01-Regular"/>
            <w:sz w:val="23"/>
            <w:szCs w:val="23"/>
          </w:rPr>
          <w:t>call in sick</w:t>
        </w:r>
      </w:hyperlink>
      <w:r>
        <w:rPr>
          <w:rFonts w:ascii="AvenirNextLTW01-Regular" w:hAnsi="AvenirNextLTW01-Regular"/>
          <w:color w:val="353535"/>
          <w:sz w:val="23"/>
          <w:szCs w:val="23"/>
        </w:rPr>
        <w:t xml:space="preserve">, </w:t>
      </w:r>
      <w:hyperlink r:id="rId9" w:history="1">
        <w:r>
          <w:rPr>
            <w:rStyle w:val="Hyperlink"/>
            <w:rFonts w:ascii="AvenirNextLTW01-Regular" w:hAnsi="AvenirNextLTW01-Regular"/>
            <w:sz w:val="23"/>
            <w:szCs w:val="23"/>
          </w:rPr>
          <w:t>apply for vacation</w:t>
        </w:r>
      </w:hyperlink>
      <w:r>
        <w:rPr>
          <w:rFonts w:ascii="AvenirNextLTW01-Regular" w:hAnsi="AvenirNextLTW01-Regular"/>
          <w:color w:val="353535"/>
          <w:sz w:val="23"/>
          <w:szCs w:val="23"/>
        </w:rPr>
        <w:t xml:space="preserve">, </w:t>
      </w:r>
      <w:hyperlink r:id="rId10" w:history="1">
        <w:r>
          <w:rPr>
            <w:rStyle w:val="Hyperlink"/>
            <w:rFonts w:ascii="AvenirNextLTW01-Regular" w:hAnsi="AvenirNextLTW01-Regular"/>
            <w:sz w:val="23"/>
            <w:szCs w:val="23"/>
          </w:rPr>
          <w:t xml:space="preserve">order supplies </w:t>
        </w:r>
      </w:hyperlink>
      <w:r>
        <w:rPr>
          <w:rFonts w:ascii="AvenirNextLTW01-Regular" w:hAnsi="AvenirNextLTW01-Regular"/>
          <w:color w:val="353535"/>
          <w:sz w:val="23"/>
          <w:szCs w:val="23"/>
        </w:rPr>
        <w:t>or launch a workflow based on form entries.</w:t>
      </w:r>
    </w:p>
    <w:p w14:paraId="2BB5AF33" w14:textId="77777777" w:rsidR="0053220A" w:rsidRDefault="0053220A" w:rsidP="0053220A">
      <w:pPr>
        <w:rPr>
          <w:rFonts w:ascii="AvenirNextLTW01-Regular" w:hAnsi="AvenirNextLTW01-Regular"/>
          <w:color w:val="353535"/>
          <w:sz w:val="23"/>
          <w:szCs w:val="23"/>
        </w:rPr>
      </w:pPr>
      <w:r>
        <w:rPr>
          <w:rFonts w:ascii="AvenirNextLTW01-Regular" w:hAnsi="AvenirNextLTW01-Regular"/>
          <w:color w:val="353535"/>
          <w:sz w:val="23"/>
          <w:szCs w:val="23"/>
        </w:rPr>
        <w:t> </w:t>
      </w:r>
    </w:p>
    <w:p w14:paraId="740F1137" w14:textId="77777777" w:rsidR="0053220A" w:rsidRDefault="0053220A" w:rsidP="0053220A">
      <w:pPr>
        <w:rPr>
          <w:rFonts w:ascii="AvenirNextLTW01-Regular" w:hAnsi="AvenirNextLTW01-Regular"/>
          <w:color w:val="353535"/>
          <w:sz w:val="23"/>
          <w:szCs w:val="23"/>
        </w:rPr>
      </w:pPr>
      <w:r>
        <w:rPr>
          <w:rFonts w:ascii="AvenirNextLTW01-Regular" w:hAnsi="AvenirNextLTW01-Regular"/>
          <w:color w:val="353535"/>
          <w:sz w:val="23"/>
          <w:szCs w:val="23"/>
        </w:rPr>
        <w:t>These DocuWare functions are available to a Workflow User:</w:t>
      </w:r>
    </w:p>
    <w:p w14:paraId="01145515" w14:textId="77777777" w:rsidR="0053220A" w:rsidRDefault="0053220A" w:rsidP="0053220A">
      <w:pPr>
        <w:rPr>
          <w:rFonts w:ascii="AvenirNextLTW01-Regular" w:hAnsi="AvenirNextLTW01-Regular"/>
          <w:color w:val="353535"/>
          <w:sz w:val="23"/>
          <w:szCs w:val="23"/>
        </w:rPr>
      </w:pPr>
      <w:r>
        <w:rPr>
          <w:rFonts w:ascii="AvenirNextLTW01-Regular" w:hAnsi="AvenirNextLTW01-Regular"/>
          <w:color w:val="353535"/>
          <w:sz w:val="23"/>
          <w:szCs w:val="23"/>
        </w:rPr>
        <w:t> </w:t>
      </w:r>
    </w:p>
    <w:p w14:paraId="5CAD0E23" w14:textId="055AFB19" w:rsidR="0053220A" w:rsidRDefault="0053220A" w:rsidP="0053220A">
      <w:r>
        <w:rPr>
          <w:rFonts w:ascii="AvenirNextLTW01-Regular" w:hAnsi="AvenirNextLTW01-Regular"/>
          <w:noProof/>
          <w:color w:val="353535"/>
          <w:sz w:val="23"/>
          <w:szCs w:val="23"/>
        </w:rPr>
        <w:lastRenderedPageBreak/>
        <w:drawing>
          <wp:inline distT="0" distB="0" distL="0" distR="0" wp14:anchorId="078539F8" wp14:editId="4F68DFB5">
            <wp:extent cx="5943600" cy="4601210"/>
            <wp:effectExtent l="0" t="0" r="0" b="0"/>
            <wp:docPr id="1" name="Picture 1" descr="WorkflowUser_Tabelle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flowUser_Tabelle_EN"/>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943600" cy="4601210"/>
                    </a:xfrm>
                    <a:prstGeom prst="rect">
                      <a:avLst/>
                    </a:prstGeom>
                    <a:noFill/>
                    <a:ln>
                      <a:noFill/>
                    </a:ln>
                  </pic:spPr>
                </pic:pic>
              </a:graphicData>
            </a:graphic>
          </wp:inline>
        </w:drawing>
      </w:r>
      <w:bookmarkStart w:id="0" w:name="_GoBack"/>
      <w:bookmarkEnd w:id="0"/>
    </w:p>
    <w:sectPr w:rsidR="0053220A" w:rsidSect="00071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NextLTW01-Regula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3220A"/>
    <w:rsid w:val="0007114E"/>
    <w:rsid w:val="0053220A"/>
    <w:rsid w:val="008F1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E2267"/>
  <w15:chartTrackingRefBased/>
  <w15:docId w15:val="{BF36B070-D85E-4112-9FFD-5C2C2E73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1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22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8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rt.docuware.com/blog/product-news/feel-better-managing-and-recording-sick-leave-report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tart.docuware.com/blog/product-news/user-friendly-and-legally-compliant-forms-with-links" TargetMode="External"/><Relationship Id="rId12" Type="http://schemas.openxmlformats.org/officeDocument/2006/relationships/image" Target="cid:image001.jpg@01D54C31.1E29C4E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art.docuware.com/docuware-forms" TargetMode="External"/><Relationship Id="rId11" Type="http://schemas.openxmlformats.org/officeDocument/2006/relationships/image" Target="media/image1.jpeg"/><Relationship Id="rId5" Type="http://schemas.openxmlformats.org/officeDocument/2006/relationships/hyperlink" Target="https://start.docuware.com/blog/product-news/hr-series-docuware-distributes-paystubs" TargetMode="External"/><Relationship Id="rId10" Type="http://schemas.openxmlformats.org/officeDocument/2006/relationships/hyperlink" Target="https://start.docuware.com/blog/product-news/purchase-order-and-invoice-one-approval-is-enough" TargetMode="External"/><Relationship Id="rId4" Type="http://schemas.openxmlformats.org/officeDocument/2006/relationships/hyperlink" Target="https://start.docuware.com/docuware-workflow-manager" TargetMode="External"/><Relationship Id="rId9" Type="http://schemas.openxmlformats.org/officeDocument/2006/relationships/hyperlink" Target="https://start.docuware.com/blog/product-news/away-we-go-vacation-requests-made-eas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Heintz</dc:creator>
  <cp:keywords/>
  <dc:description/>
  <cp:lastModifiedBy>Craig Heintz</cp:lastModifiedBy>
  <cp:revision>1</cp:revision>
  <dcterms:created xsi:type="dcterms:W3CDTF">2019-08-06T12:57:00Z</dcterms:created>
  <dcterms:modified xsi:type="dcterms:W3CDTF">2019-08-06T12:59:00Z</dcterms:modified>
</cp:coreProperties>
</file>